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976" w:rsidRPr="009A5976" w:rsidRDefault="009A5976" w:rsidP="009A5976">
      <w:pPr>
        <w:jc w:val="center"/>
        <w:rPr>
          <w:b/>
          <w:i w:val="0"/>
        </w:rPr>
      </w:pPr>
      <w:bookmarkStart w:id="0" w:name="_GoBack"/>
      <w:bookmarkEnd w:id="0"/>
      <w:r w:rsidRPr="009A5976">
        <w:rPr>
          <w:b/>
          <w:i w:val="0"/>
        </w:rPr>
        <w:t>EQUIPAMENTO MULTIUSUÁRIO PPGBMA</w:t>
      </w:r>
    </w:p>
    <w:p w:rsidR="009A5976" w:rsidRDefault="009A5976"/>
    <w:p w:rsidR="009A5976" w:rsidRPr="00302CF1" w:rsidRDefault="009A5976" w:rsidP="009A5976">
      <w:pPr>
        <w:jc w:val="center"/>
        <w:rPr>
          <w:b/>
          <w:i w:val="0"/>
        </w:rPr>
      </w:pPr>
      <w:proofErr w:type="spellStart"/>
      <w:r w:rsidRPr="00302CF1">
        <w:rPr>
          <w:b/>
          <w:i w:val="0"/>
        </w:rPr>
        <w:t>Camara</w:t>
      </w:r>
      <w:proofErr w:type="spellEnd"/>
      <w:r w:rsidRPr="00302CF1">
        <w:rPr>
          <w:b/>
          <w:i w:val="0"/>
        </w:rPr>
        <w:t xml:space="preserve"> de </w:t>
      </w:r>
      <w:proofErr w:type="spellStart"/>
      <w:r w:rsidRPr="00302CF1">
        <w:rPr>
          <w:b/>
          <w:i w:val="0"/>
        </w:rPr>
        <w:t>fotodetecção</w:t>
      </w:r>
      <w:proofErr w:type="spellEnd"/>
      <w:r w:rsidRPr="00302CF1">
        <w:rPr>
          <w:b/>
          <w:i w:val="0"/>
        </w:rPr>
        <w:t xml:space="preserve"> para </w:t>
      </w:r>
      <w:proofErr w:type="spellStart"/>
      <w:r w:rsidRPr="00302CF1">
        <w:rPr>
          <w:b/>
          <w:i w:val="0"/>
        </w:rPr>
        <w:t>Bioimagem</w:t>
      </w:r>
      <w:proofErr w:type="spellEnd"/>
      <w:r w:rsidRPr="00302CF1">
        <w:rPr>
          <w:b/>
          <w:i w:val="0"/>
        </w:rPr>
        <w:t xml:space="preserve"> para Bioluminescência </w:t>
      </w:r>
      <w:proofErr w:type="spellStart"/>
      <w:r w:rsidRPr="00302CF1">
        <w:rPr>
          <w:b/>
          <w:i w:val="0"/>
        </w:rPr>
        <w:t>NightOwl</w:t>
      </w:r>
      <w:proofErr w:type="spellEnd"/>
    </w:p>
    <w:p w:rsidR="009A5976" w:rsidRPr="009A5976" w:rsidRDefault="00732E0B" w:rsidP="00732E0B">
      <w:pPr>
        <w:jc w:val="center"/>
        <w:rPr>
          <w:i w:val="0"/>
        </w:rPr>
      </w:pPr>
      <w:r>
        <w:rPr>
          <w:b/>
          <w:i w:val="0"/>
          <w:noProof/>
          <w:lang w:eastAsia="pt-BR"/>
        </w:rPr>
        <w:drawing>
          <wp:inline distT="0" distB="0" distL="0" distR="0">
            <wp:extent cx="1593850" cy="1200150"/>
            <wp:effectExtent l="19050" t="0" r="635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976" w:rsidRPr="009A5976" w:rsidRDefault="009A5976">
      <w:pPr>
        <w:rPr>
          <w:i w:val="0"/>
        </w:rPr>
      </w:pPr>
      <w:r w:rsidRPr="00302CF1">
        <w:rPr>
          <w:b/>
          <w:i w:val="0"/>
        </w:rPr>
        <w:t>Processo FAPESP 2010/05426-8</w:t>
      </w:r>
      <w:r w:rsidRPr="009A5976">
        <w:rPr>
          <w:i w:val="0"/>
        </w:rPr>
        <w:t xml:space="preserve"> – Projeto Temático</w:t>
      </w:r>
    </w:p>
    <w:p w:rsidR="009A5976" w:rsidRPr="009A5976" w:rsidRDefault="009A5976">
      <w:pPr>
        <w:rPr>
          <w:i w:val="0"/>
        </w:rPr>
      </w:pPr>
      <w:r w:rsidRPr="00880AE0">
        <w:rPr>
          <w:b/>
          <w:i w:val="0"/>
        </w:rPr>
        <w:t>Responsável Institucional pelo Equipamento</w:t>
      </w:r>
      <w:r w:rsidRPr="009A5976">
        <w:rPr>
          <w:i w:val="0"/>
        </w:rPr>
        <w:t xml:space="preserve">: Prof. </w:t>
      </w:r>
      <w:proofErr w:type="spellStart"/>
      <w:r w:rsidRPr="009A5976">
        <w:rPr>
          <w:i w:val="0"/>
        </w:rPr>
        <w:t>Dr</w:t>
      </w:r>
      <w:proofErr w:type="spellEnd"/>
      <w:r w:rsidRPr="009A5976">
        <w:rPr>
          <w:i w:val="0"/>
        </w:rPr>
        <w:t xml:space="preserve"> Vadim Viviani </w:t>
      </w:r>
    </w:p>
    <w:p w:rsidR="000F00D2" w:rsidRPr="009A5976" w:rsidRDefault="009A5976">
      <w:pPr>
        <w:rPr>
          <w:i w:val="0"/>
        </w:rPr>
      </w:pPr>
      <w:r w:rsidRPr="00880AE0">
        <w:rPr>
          <w:b/>
          <w:i w:val="0"/>
        </w:rPr>
        <w:t>Responsável pelo controle de utilização</w:t>
      </w:r>
      <w:r w:rsidRPr="009A5976">
        <w:rPr>
          <w:i w:val="0"/>
        </w:rPr>
        <w:t xml:space="preserve">: </w:t>
      </w:r>
      <w:r w:rsidR="00302CF1">
        <w:rPr>
          <w:i w:val="0"/>
        </w:rPr>
        <w:t>Prof. Vadim Viviani</w:t>
      </w:r>
    </w:p>
    <w:p w:rsidR="009A5976" w:rsidRPr="009A5976" w:rsidRDefault="009A5976">
      <w:pPr>
        <w:rPr>
          <w:i w:val="0"/>
        </w:rPr>
      </w:pPr>
    </w:p>
    <w:p w:rsidR="00880AE0" w:rsidRDefault="009A5976">
      <w:pPr>
        <w:rPr>
          <w:i w:val="0"/>
        </w:rPr>
      </w:pPr>
      <w:r w:rsidRPr="00880AE0">
        <w:rPr>
          <w:b/>
          <w:i w:val="0"/>
        </w:rPr>
        <w:t>Localização do equipamento:</w:t>
      </w:r>
      <w:r w:rsidRPr="009A5976">
        <w:rPr>
          <w:i w:val="0"/>
        </w:rPr>
        <w:t xml:space="preserve"> </w:t>
      </w:r>
      <w:r w:rsidR="00880AE0">
        <w:rPr>
          <w:i w:val="0"/>
        </w:rPr>
        <w:t xml:space="preserve">Laboratório de Bioquímica e Biotecnologia de Sistemas Bioluminescentes, </w:t>
      </w:r>
      <w:r w:rsidRPr="009A5976">
        <w:rPr>
          <w:i w:val="0"/>
        </w:rPr>
        <w:t>UFSCar, Campus Sorocaba</w:t>
      </w:r>
      <w:r w:rsidR="00880AE0">
        <w:rPr>
          <w:i w:val="0"/>
        </w:rPr>
        <w:t>.</w:t>
      </w:r>
    </w:p>
    <w:p w:rsidR="007830FC" w:rsidRPr="007830FC" w:rsidRDefault="009A5976" w:rsidP="007830FC">
      <w:pPr>
        <w:pStyle w:val="Pr-formataoHTML"/>
        <w:shd w:val="clear" w:color="auto" w:fill="FFFFFF"/>
        <w:rPr>
          <w:rFonts w:ascii="Times New Roman" w:hAnsi="Times New Roman" w:cs="Times New Roman"/>
          <w:color w:val="212121"/>
          <w:lang w:val="pt-PT"/>
        </w:rPr>
      </w:pPr>
      <w:r w:rsidRPr="007830FC">
        <w:rPr>
          <w:rFonts w:ascii="Times New Roman" w:hAnsi="Times New Roman" w:cs="Times New Roman"/>
          <w:b/>
        </w:rPr>
        <w:t>Descrição detalhada do equipamento:</w:t>
      </w:r>
      <w:r w:rsidR="007830FC" w:rsidRPr="007830FC">
        <w:rPr>
          <w:rFonts w:ascii="Times New Roman" w:hAnsi="Times New Roman" w:cs="Times New Roman"/>
          <w:b/>
        </w:rPr>
        <w:t xml:space="preserve"> </w:t>
      </w:r>
    </w:p>
    <w:p w:rsidR="007830FC" w:rsidRPr="007830FC" w:rsidRDefault="007830FC" w:rsidP="007830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 w:val="0"/>
          <w:color w:val="212121"/>
          <w:sz w:val="20"/>
          <w:szCs w:val="20"/>
          <w:lang w:val="pt-PT" w:eastAsia="pt-BR"/>
        </w:rPr>
      </w:pPr>
      <w:r w:rsidRPr="007830FC">
        <w:rPr>
          <w:rFonts w:asciiTheme="majorHAnsi" w:eastAsia="Times New Roman" w:hAnsiTheme="majorHAnsi" w:cs="Courier New"/>
          <w:i w:val="0"/>
          <w:color w:val="212121"/>
          <w:sz w:val="20"/>
          <w:szCs w:val="20"/>
          <w:lang w:val="pt-PT" w:eastAsia="pt-BR"/>
        </w:rPr>
        <w:t>Câmera CCD resfriada</w:t>
      </w:r>
      <w:r>
        <w:rPr>
          <w:rFonts w:asciiTheme="majorHAnsi" w:eastAsia="Times New Roman" w:hAnsiTheme="majorHAnsi" w:cs="Courier New"/>
          <w:i w:val="0"/>
          <w:color w:val="212121"/>
          <w:sz w:val="20"/>
          <w:szCs w:val="20"/>
          <w:lang w:val="pt-PT" w:eastAsia="pt-BR"/>
        </w:rPr>
        <w:t xml:space="preserve"> a -80C </w:t>
      </w:r>
    </w:p>
    <w:p w:rsidR="007830FC" w:rsidRPr="007830FC" w:rsidRDefault="007830FC" w:rsidP="007830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 w:val="0"/>
          <w:color w:val="212121"/>
          <w:sz w:val="20"/>
          <w:szCs w:val="20"/>
          <w:lang w:val="pt-PT" w:eastAsia="pt-BR"/>
        </w:rPr>
      </w:pPr>
      <w:r w:rsidRPr="007830FC">
        <w:rPr>
          <w:rFonts w:asciiTheme="majorHAnsi" w:eastAsia="Times New Roman" w:hAnsiTheme="majorHAnsi" w:cs="Courier New"/>
          <w:i w:val="0"/>
          <w:color w:val="212121"/>
          <w:sz w:val="20"/>
          <w:szCs w:val="20"/>
          <w:lang w:val="pt-PT" w:eastAsia="pt-BR"/>
        </w:rPr>
        <w:t>Câmera móvel para um campo de visão flexível</w:t>
      </w:r>
    </w:p>
    <w:p w:rsidR="007830FC" w:rsidRPr="007830FC" w:rsidRDefault="007830FC" w:rsidP="007830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 w:val="0"/>
          <w:color w:val="212121"/>
          <w:sz w:val="20"/>
          <w:szCs w:val="20"/>
          <w:lang w:val="pt-PT" w:eastAsia="pt-BR"/>
        </w:rPr>
      </w:pPr>
      <w:r w:rsidRPr="007830FC">
        <w:rPr>
          <w:rFonts w:asciiTheme="majorHAnsi" w:eastAsia="Times New Roman" w:hAnsiTheme="majorHAnsi" w:cs="Courier New"/>
          <w:i w:val="0"/>
          <w:color w:val="212121"/>
          <w:sz w:val="20"/>
          <w:szCs w:val="20"/>
          <w:lang w:val="pt-PT" w:eastAsia="pt-BR"/>
        </w:rPr>
        <w:t>A intensidade do sinal é corrigida em altura</w:t>
      </w:r>
    </w:p>
    <w:p w:rsidR="007830FC" w:rsidRPr="007830FC" w:rsidRDefault="007830FC" w:rsidP="007830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 w:val="0"/>
          <w:color w:val="212121"/>
          <w:sz w:val="20"/>
          <w:szCs w:val="20"/>
          <w:lang w:val="pt-PT" w:eastAsia="pt-BR"/>
        </w:rPr>
      </w:pPr>
      <w:r w:rsidRPr="007830FC">
        <w:rPr>
          <w:rFonts w:asciiTheme="majorHAnsi" w:eastAsia="Times New Roman" w:hAnsiTheme="majorHAnsi" w:cs="Courier New"/>
          <w:i w:val="0"/>
          <w:color w:val="212121"/>
          <w:sz w:val="20"/>
          <w:szCs w:val="20"/>
          <w:lang w:val="pt-PT" w:eastAsia="pt-BR"/>
        </w:rPr>
        <w:t>Múltiplos acessórios para diferentes espécimes</w:t>
      </w:r>
    </w:p>
    <w:p w:rsidR="007830FC" w:rsidRPr="007830FC" w:rsidRDefault="007830FC" w:rsidP="007830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 w:val="0"/>
          <w:color w:val="212121"/>
          <w:sz w:val="20"/>
          <w:szCs w:val="20"/>
          <w:lang w:val="pt-PT" w:eastAsia="pt-BR"/>
        </w:rPr>
      </w:pPr>
      <w:r w:rsidRPr="007830FC">
        <w:rPr>
          <w:rFonts w:asciiTheme="majorHAnsi" w:eastAsia="Times New Roman" w:hAnsiTheme="majorHAnsi" w:cs="Courier New"/>
          <w:i w:val="0"/>
          <w:color w:val="212121"/>
          <w:sz w:val="20"/>
          <w:szCs w:val="20"/>
          <w:lang w:val="pt-PT" w:eastAsia="pt-BR"/>
        </w:rPr>
        <w:t>Interfaces controladas por software e tomadas de energia</w:t>
      </w:r>
    </w:p>
    <w:p w:rsidR="007830FC" w:rsidRPr="007830FC" w:rsidRDefault="007830FC" w:rsidP="007830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i w:val="0"/>
          <w:color w:val="212121"/>
          <w:sz w:val="20"/>
          <w:szCs w:val="20"/>
          <w:lang w:eastAsia="pt-BR"/>
        </w:rPr>
      </w:pPr>
      <w:r w:rsidRPr="007830FC">
        <w:rPr>
          <w:rFonts w:asciiTheme="majorHAnsi" w:eastAsia="Times New Roman" w:hAnsiTheme="majorHAnsi" w:cs="Courier New"/>
          <w:i w:val="0"/>
          <w:color w:val="212121"/>
          <w:sz w:val="20"/>
          <w:szCs w:val="20"/>
          <w:lang w:val="pt-PT" w:eastAsia="pt-BR"/>
        </w:rPr>
        <w:t>Portos para acesso externo</w:t>
      </w:r>
    </w:p>
    <w:p w:rsidR="009A5976" w:rsidRDefault="009A5976" w:rsidP="007830F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3"/>
          <w:szCs w:val="13"/>
        </w:rPr>
      </w:pPr>
    </w:p>
    <w:p w:rsidR="007830FC" w:rsidRDefault="007830FC" w:rsidP="007830F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3"/>
          <w:szCs w:val="13"/>
        </w:rPr>
      </w:pPr>
    </w:p>
    <w:p w:rsidR="007830FC" w:rsidRPr="00880AE0" w:rsidRDefault="007830FC" w:rsidP="00302CF1">
      <w:pPr>
        <w:autoSpaceDE w:val="0"/>
        <w:autoSpaceDN w:val="0"/>
        <w:adjustRightInd w:val="0"/>
        <w:spacing w:after="0" w:line="240" w:lineRule="auto"/>
        <w:jc w:val="center"/>
        <w:rPr>
          <w:b/>
          <w:i w:val="0"/>
        </w:rPr>
      </w:pPr>
    </w:p>
    <w:p w:rsidR="007830FC" w:rsidRPr="007830FC" w:rsidRDefault="009A5976" w:rsidP="00AB6C61">
      <w:pPr>
        <w:pStyle w:val="Pr-formataoHTML"/>
        <w:shd w:val="clear" w:color="auto" w:fill="FFFFFF"/>
        <w:jc w:val="both"/>
        <w:rPr>
          <w:rFonts w:asciiTheme="majorHAnsi" w:hAnsiTheme="majorHAnsi"/>
          <w:color w:val="212121"/>
          <w:lang w:val="pt-PT"/>
        </w:rPr>
      </w:pPr>
      <w:r w:rsidRPr="00302CF1">
        <w:rPr>
          <w:rFonts w:asciiTheme="majorHAnsi" w:hAnsiTheme="majorHAnsi"/>
          <w:b/>
        </w:rPr>
        <w:t>Emprego</w:t>
      </w:r>
      <w:r w:rsidRPr="00302CF1">
        <w:rPr>
          <w:rFonts w:asciiTheme="majorHAnsi" w:hAnsiTheme="majorHAnsi"/>
        </w:rPr>
        <w:t>:</w:t>
      </w:r>
      <w:r w:rsidR="00880AE0" w:rsidRPr="00302CF1">
        <w:rPr>
          <w:rFonts w:asciiTheme="majorHAnsi" w:hAnsiTheme="majorHAnsi"/>
        </w:rPr>
        <w:t xml:space="preserve"> Obtenção de imagens de bioluminescência, </w:t>
      </w:r>
      <w:proofErr w:type="spellStart"/>
      <w:r w:rsidR="00880AE0" w:rsidRPr="00302CF1">
        <w:rPr>
          <w:rFonts w:asciiTheme="majorHAnsi" w:hAnsiTheme="majorHAnsi"/>
        </w:rPr>
        <w:t>quimioluminescência</w:t>
      </w:r>
      <w:proofErr w:type="spellEnd"/>
      <w:r w:rsidR="00880AE0" w:rsidRPr="00302CF1">
        <w:rPr>
          <w:rFonts w:asciiTheme="majorHAnsi" w:hAnsiTheme="majorHAnsi"/>
        </w:rPr>
        <w:t xml:space="preserve"> e fluorescência de tecidos, células, culturas e organismos. Muito utilizados para </w:t>
      </w:r>
      <w:proofErr w:type="gramStart"/>
      <w:r w:rsidR="00880AE0" w:rsidRPr="00302CF1">
        <w:rPr>
          <w:rFonts w:asciiTheme="majorHAnsi" w:hAnsiTheme="majorHAnsi"/>
        </w:rPr>
        <w:t>estudos  de</w:t>
      </w:r>
      <w:proofErr w:type="gramEnd"/>
      <w:r w:rsidR="00880AE0" w:rsidRPr="00302CF1">
        <w:rPr>
          <w:rFonts w:asciiTheme="majorHAnsi" w:hAnsiTheme="majorHAnsi"/>
        </w:rPr>
        <w:t xml:space="preserve"> expressão e localização gênica com genes repórter bioluminescentes e fluorescentes como GFP.</w:t>
      </w:r>
      <w:r w:rsidR="007830FC" w:rsidRPr="00302CF1">
        <w:rPr>
          <w:rFonts w:asciiTheme="majorHAnsi" w:hAnsiTheme="majorHAnsi"/>
          <w:color w:val="212121"/>
          <w:lang w:val="pt-PT"/>
        </w:rPr>
        <w:t xml:space="preserve"> O equipamento permite</w:t>
      </w:r>
      <w:r w:rsidR="007830FC" w:rsidRPr="007830FC">
        <w:rPr>
          <w:rFonts w:asciiTheme="majorHAnsi" w:hAnsiTheme="majorHAnsi"/>
          <w:color w:val="212121"/>
          <w:lang w:val="pt-PT"/>
        </w:rPr>
        <w:t xml:space="preserve"> detectar emissão de luz </w:t>
      </w:r>
      <w:r w:rsidR="007830FC" w:rsidRPr="00302CF1">
        <w:rPr>
          <w:rFonts w:asciiTheme="majorHAnsi" w:hAnsiTheme="majorHAnsi"/>
          <w:color w:val="212121"/>
          <w:lang w:val="pt-PT"/>
        </w:rPr>
        <w:t xml:space="preserve">fraca </w:t>
      </w:r>
      <w:r w:rsidR="007830FC" w:rsidRPr="007830FC">
        <w:rPr>
          <w:rFonts w:asciiTheme="majorHAnsi" w:hAnsiTheme="majorHAnsi"/>
          <w:color w:val="212121"/>
          <w:lang w:val="pt-PT"/>
        </w:rPr>
        <w:t>em organismos, abrindo a oportunidade de monitorar genes repórteres em</w:t>
      </w:r>
      <w:r w:rsidR="00302CF1">
        <w:rPr>
          <w:rFonts w:asciiTheme="majorHAnsi" w:hAnsiTheme="majorHAnsi"/>
          <w:color w:val="212121"/>
          <w:lang w:val="pt-PT"/>
        </w:rPr>
        <w:t xml:space="preserve"> </w:t>
      </w:r>
      <w:r w:rsidR="007830FC" w:rsidRPr="00302CF1">
        <w:rPr>
          <w:rFonts w:asciiTheme="majorHAnsi" w:hAnsiTheme="majorHAnsi"/>
          <w:color w:val="212121"/>
          <w:lang w:val="pt-PT"/>
        </w:rPr>
        <w:t>a</w:t>
      </w:r>
      <w:r w:rsidR="007830FC" w:rsidRPr="007830FC">
        <w:rPr>
          <w:rFonts w:asciiTheme="majorHAnsi" w:hAnsiTheme="majorHAnsi"/>
          <w:color w:val="212121"/>
          <w:lang w:val="pt-PT"/>
        </w:rPr>
        <w:t xml:space="preserve">nimais e plantas de forma não invasiva. Esta nova e excitante tecnologia mudou o caminho da pesquisa médica que oferece </w:t>
      </w:r>
      <w:r w:rsidR="007830FC" w:rsidRPr="00302CF1">
        <w:rPr>
          <w:rFonts w:asciiTheme="majorHAnsi" w:hAnsiTheme="majorHAnsi"/>
          <w:color w:val="212121"/>
          <w:lang w:val="pt-PT"/>
        </w:rPr>
        <w:t>i</w:t>
      </w:r>
      <w:r w:rsidR="007830FC" w:rsidRPr="007830FC">
        <w:rPr>
          <w:rFonts w:asciiTheme="majorHAnsi" w:hAnsiTheme="majorHAnsi"/>
          <w:color w:val="212121"/>
          <w:lang w:val="pt-PT"/>
        </w:rPr>
        <w:t>mportante passo de trabalhar em condições fisiológicas em um animal vivo.</w:t>
      </w:r>
      <w:r w:rsidR="00302CF1" w:rsidRPr="00302CF1">
        <w:rPr>
          <w:rFonts w:asciiTheme="majorHAnsi" w:hAnsiTheme="majorHAnsi"/>
          <w:color w:val="212121"/>
          <w:lang w:val="pt-PT"/>
        </w:rPr>
        <w:t xml:space="preserve">O equipamento </w:t>
      </w:r>
      <w:r w:rsidR="007830FC" w:rsidRPr="007830FC">
        <w:rPr>
          <w:rFonts w:asciiTheme="majorHAnsi" w:hAnsiTheme="majorHAnsi"/>
          <w:color w:val="212121"/>
          <w:lang w:val="pt-PT"/>
        </w:rPr>
        <w:t xml:space="preserve"> NightOWL II um sistema de imagem molecular de última geração para </w:t>
      </w:r>
      <w:r w:rsidR="007830FC" w:rsidRPr="00302CF1">
        <w:rPr>
          <w:rFonts w:asciiTheme="majorHAnsi" w:hAnsiTheme="majorHAnsi"/>
          <w:color w:val="212121"/>
          <w:lang w:val="pt-PT"/>
        </w:rPr>
        <w:t>e</w:t>
      </w:r>
      <w:r w:rsidR="007830FC" w:rsidRPr="007830FC">
        <w:rPr>
          <w:rFonts w:asciiTheme="majorHAnsi" w:hAnsiTheme="majorHAnsi"/>
          <w:color w:val="212121"/>
          <w:lang w:val="pt-PT"/>
        </w:rPr>
        <w:t xml:space="preserve">xpressão </w:t>
      </w:r>
      <w:r w:rsidR="007830FC" w:rsidRPr="00302CF1">
        <w:rPr>
          <w:rFonts w:asciiTheme="majorHAnsi" w:hAnsiTheme="majorHAnsi"/>
          <w:color w:val="212121"/>
          <w:lang w:val="pt-PT"/>
        </w:rPr>
        <w:t xml:space="preserve">gênica </w:t>
      </w:r>
      <w:r w:rsidR="007830FC" w:rsidRPr="007830FC">
        <w:rPr>
          <w:rFonts w:asciiTheme="majorHAnsi" w:hAnsiTheme="majorHAnsi"/>
          <w:i/>
          <w:color w:val="212121"/>
          <w:lang w:val="pt-PT"/>
        </w:rPr>
        <w:t>in vivo</w:t>
      </w:r>
      <w:r w:rsidR="007830FC" w:rsidRPr="00302CF1">
        <w:rPr>
          <w:rFonts w:asciiTheme="majorHAnsi" w:hAnsiTheme="majorHAnsi"/>
          <w:color w:val="212121"/>
          <w:lang w:val="pt-PT"/>
        </w:rPr>
        <w:t xml:space="preserve"> </w:t>
      </w:r>
      <w:r w:rsidR="007830FC" w:rsidRPr="007830FC">
        <w:rPr>
          <w:rFonts w:asciiTheme="majorHAnsi" w:hAnsiTheme="majorHAnsi"/>
          <w:color w:val="212121"/>
          <w:lang w:val="pt-PT"/>
        </w:rPr>
        <w:t>com</w:t>
      </w:r>
      <w:r w:rsidR="007830FC" w:rsidRPr="00302CF1">
        <w:rPr>
          <w:rFonts w:asciiTheme="majorHAnsi" w:hAnsiTheme="majorHAnsi"/>
          <w:color w:val="212121"/>
          <w:lang w:val="pt-PT"/>
        </w:rPr>
        <w:t xml:space="preserve"> genes de </w:t>
      </w:r>
      <w:r w:rsidR="007830FC" w:rsidRPr="007830FC">
        <w:rPr>
          <w:rFonts w:asciiTheme="majorHAnsi" w:hAnsiTheme="majorHAnsi"/>
          <w:color w:val="212121"/>
          <w:lang w:val="pt-PT"/>
        </w:rPr>
        <w:t xml:space="preserve"> luciferases e proteínas fluorescentes, bem como para a localização com anticorpos marcados com fluorescência.</w:t>
      </w:r>
      <w:r w:rsidR="007830FC" w:rsidRPr="00302CF1">
        <w:rPr>
          <w:rFonts w:asciiTheme="majorHAnsi" w:hAnsiTheme="majorHAnsi"/>
          <w:color w:val="212121"/>
          <w:lang w:val="pt-PT"/>
        </w:rPr>
        <w:t xml:space="preserve"> </w:t>
      </w:r>
      <w:r w:rsidR="007830FC" w:rsidRPr="007830FC">
        <w:rPr>
          <w:rFonts w:asciiTheme="majorHAnsi" w:hAnsiTheme="majorHAnsi"/>
          <w:color w:val="212121"/>
          <w:lang w:val="pt-PT"/>
        </w:rPr>
        <w:t>Sensibilidade, versatilidade e facilidade de uso em combinação fazem do NightOWL um instrumento superior.</w:t>
      </w:r>
    </w:p>
    <w:p w:rsidR="00375137" w:rsidRDefault="00375137">
      <w:pPr>
        <w:rPr>
          <w:b/>
          <w:i w:val="0"/>
        </w:rPr>
      </w:pPr>
    </w:p>
    <w:p w:rsidR="00880AE0" w:rsidRPr="00880AE0" w:rsidRDefault="009A5976">
      <w:pPr>
        <w:rPr>
          <w:b/>
          <w:i w:val="0"/>
        </w:rPr>
      </w:pPr>
      <w:r w:rsidRPr="00880AE0">
        <w:rPr>
          <w:b/>
          <w:i w:val="0"/>
        </w:rPr>
        <w:t xml:space="preserve">NORMAS </w:t>
      </w:r>
      <w:r w:rsidR="00880AE0">
        <w:rPr>
          <w:b/>
          <w:i w:val="0"/>
        </w:rPr>
        <w:t>DE UTILIZAÇÃO DO EQUIPAMENTO</w:t>
      </w:r>
    </w:p>
    <w:p w:rsidR="00880AE0" w:rsidRDefault="00880AE0">
      <w:pPr>
        <w:rPr>
          <w:i w:val="0"/>
        </w:rPr>
      </w:pPr>
    </w:p>
    <w:p w:rsidR="00302CF1" w:rsidRDefault="009A5976" w:rsidP="00302CF1">
      <w:pPr>
        <w:rPr>
          <w:i w:val="0"/>
          <w:sz w:val="24"/>
          <w:szCs w:val="24"/>
        </w:rPr>
      </w:pPr>
      <w:r w:rsidRPr="00880AE0">
        <w:rPr>
          <w:b/>
          <w:i w:val="0"/>
        </w:rPr>
        <w:t>Operadores do equipamento:</w:t>
      </w:r>
      <w:r w:rsidR="00302CF1" w:rsidRPr="00302CF1">
        <w:rPr>
          <w:i w:val="0"/>
          <w:sz w:val="24"/>
          <w:szCs w:val="24"/>
        </w:rPr>
        <w:t xml:space="preserve"> </w:t>
      </w:r>
      <w:r w:rsidR="00302CF1">
        <w:rPr>
          <w:i w:val="0"/>
          <w:sz w:val="24"/>
          <w:szCs w:val="24"/>
        </w:rPr>
        <w:t>Dr. Danilo Amaral, Gabriele Gabriel, Vanessa Bevilaqua, Vadim Viviani.</w:t>
      </w:r>
    </w:p>
    <w:p w:rsidR="009A5976" w:rsidRPr="00880AE0" w:rsidRDefault="009A5976">
      <w:pPr>
        <w:rPr>
          <w:b/>
          <w:i w:val="0"/>
        </w:rPr>
      </w:pPr>
    </w:p>
    <w:p w:rsidR="00880AE0" w:rsidRDefault="00880AE0">
      <w:pPr>
        <w:rPr>
          <w:i w:val="0"/>
        </w:rPr>
      </w:pPr>
    </w:p>
    <w:p w:rsidR="009A5976" w:rsidRPr="00880AE0" w:rsidRDefault="009A5976">
      <w:pPr>
        <w:rPr>
          <w:b/>
          <w:i w:val="0"/>
        </w:rPr>
      </w:pPr>
      <w:r w:rsidRPr="00880AE0">
        <w:rPr>
          <w:b/>
          <w:i w:val="0"/>
        </w:rPr>
        <w:t>2. Forma de rateio dos custos o</w:t>
      </w:r>
      <w:r w:rsidR="00302CF1">
        <w:rPr>
          <w:b/>
          <w:i w:val="0"/>
        </w:rPr>
        <w:t>peracionais</w:t>
      </w:r>
      <w:r w:rsidRPr="00880AE0">
        <w:rPr>
          <w:b/>
          <w:i w:val="0"/>
        </w:rPr>
        <w:t>:</w:t>
      </w:r>
    </w:p>
    <w:p w:rsidR="009A5976" w:rsidRPr="009A5976" w:rsidRDefault="009A5976">
      <w:pPr>
        <w:rPr>
          <w:i w:val="0"/>
        </w:rPr>
      </w:pPr>
    </w:p>
    <w:p w:rsidR="009A5976" w:rsidRPr="009A5976" w:rsidRDefault="009A5976" w:rsidP="00AB6C61">
      <w:pPr>
        <w:jc w:val="both"/>
        <w:rPr>
          <w:i w:val="0"/>
        </w:rPr>
      </w:pPr>
      <w:r w:rsidRPr="00880AE0">
        <w:rPr>
          <w:b/>
          <w:i w:val="0"/>
        </w:rPr>
        <w:t>3. Custos operacionai</w:t>
      </w:r>
      <w:r w:rsidR="00302CF1">
        <w:rPr>
          <w:b/>
          <w:i w:val="0"/>
        </w:rPr>
        <w:t>s de projetos externos</w:t>
      </w:r>
      <w:r w:rsidRPr="00880AE0">
        <w:rPr>
          <w:b/>
          <w:i w:val="0"/>
        </w:rPr>
        <w:t>:</w:t>
      </w:r>
      <w:r w:rsidRPr="009A5976">
        <w:rPr>
          <w:i w:val="0"/>
        </w:rPr>
        <w:t xml:space="preserve"> Usuários externos ao PPGBMA ou à UFSCar devem entrar em contato com o docente responsável pela utilização </w:t>
      </w:r>
      <w:r w:rsidR="00375137">
        <w:rPr>
          <w:i w:val="0"/>
        </w:rPr>
        <w:t>do equipamento (viviani@ufscar.br</w:t>
      </w:r>
      <w:r w:rsidRPr="009A5976">
        <w:rPr>
          <w:i w:val="0"/>
        </w:rPr>
        <w:t>), que irá informar ao requerente a tramitação necessária para solicitar a prestação de serviço e o seu pagamento via FAI (Programa de Extensão PROEX</w:t>
      </w:r>
      <w:r w:rsidR="00302CF1">
        <w:rPr>
          <w:i w:val="0"/>
        </w:rPr>
        <w:t xml:space="preserve"> </w:t>
      </w:r>
      <w:hyperlink r:id="rId5" w:history="1">
        <w:r w:rsidR="00302CF1" w:rsidRPr="00302CF1">
          <w:rPr>
            <w:rStyle w:val="Hyperlink"/>
            <w:rFonts w:asciiTheme="majorHAnsi" w:hAnsiTheme="majorHAnsi" w:cs="Arial"/>
            <w:color w:val="000000"/>
            <w:shd w:val="clear" w:color="auto" w:fill="E8E8E8"/>
          </w:rPr>
          <w:t>Programa de Inovação, Divulgação e Aplicação de Tecnologias Bioluminescentes, e apoio a Sociedade Internacional de Bioluminescência e Quimioluminescência (ISBC)</w:t>
        </w:r>
      </w:hyperlink>
      <w:r w:rsidRPr="00302CF1">
        <w:rPr>
          <w:rFonts w:asciiTheme="majorHAnsi" w:hAnsiTheme="majorHAnsi"/>
          <w:i w:val="0"/>
        </w:rPr>
        <w:t xml:space="preserve">, </w:t>
      </w:r>
      <w:r w:rsidR="00302CF1" w:rsidRPr="00302CF1">
        <w:rPr>
          <w:rFonts w:asciiTheme="majorHAnsi" w:hAnsiTheme="majorHAnsi"/>
          <w:i w:val="0"/>
        </w:rPr>
        <w:t>Proc:</w:t>
      </w:r>
      <w:r w:rsidR="00302CF1" w:rsidRPr="00302CF1">
        <w:rPr>
          <w:rFonts w:asciiTheme="majorHAnsi" w:hAnsiTheme="majorHAnsi" w:cs="Arial"/>
          <w:color w:val="000000"/>
          <w:shd w:val="clear" w:color="auto" w:fill="E8E8E8"/>
        </w:rPr>
        <w:t>23112.004270/2016-01</w:t>
      </w:r>
      <w:r w:rsidR="00302CF1">
        <w:rPr>
          <w:rFonts w:ascii="Arial" w:hAnsi="Arial" w:cs="Arial"/>
          <w:color w:val="000000"/>
          <w:shd w:val="clear" w:color="auto" w:fill="E8E8E8"/>
        </w:rPr>
        <w:t xml:space="preserve">, </w:t>
      </w:r>
      <w:r w:rsidRPr="009A5976">
        <w:rPr>
          <w:i w:val="0"/>
        </w:rPr>
        <w:t xml:space="preserve">coordenado </w:t>
      </w:r>
      <w:r w:rsidR="007830FC">
        <w:rPr>
          <w:i w:val="0"/>
        </w:rPr>
        <w:t>pelo</w:t>
      </w:r>
      <w:r w:rsidRPr="009A5976">
        <w:rPr>
          <w:i w:val="0"/>
        </w:rPr>
        <w:t xml:space="preserve"> Pr</w:t>
      </w:r>
      <w:r w:rsidR="00302CF1">
        <w:rPr>
          <w:i w:val="0"/>
        </w:rPr>
        <w:t>of</w:t>
      </w:r>
      <w:r w:rsidR="007830FC">
        <w:rPr>
          <w:i w:val="0"/>
        </w:rPr>
        <w:t>. Dr. Vadim Viviani</w:t>
      </w:r>
      <w:r w:rsidRPr="009A5976">
        <w:rPr>
          <w:i w:val="0"/>
        </w:rPr>
        <w:t>). Havendo a disponibilidade do equipamento e do</w:t>
      </w:r>
      <w:r w:rsidR="007830FC">
        <w:rPr>
          <w:i w:val="0"/>
        </w:rPr>
        <w:t xml:space="preserve"> operador autorizado do </w:t>
      </w:r>
      <w:r w:rsidR="007830FC" w:rsidRPr="00302CF1">
        <w:t xml:space="preserve">Lab. </w:t>
      </w:r>
      <w:proofErr w:type="spellStart"/>
      <w:r w:rsidR="007830FC" w:rsidRPr="00302CF1">
        <w:t>Bioquimica</w:t>
      </w:r>
      <w:proofErr w:type="spellEnd"/>
      <w:r w:rsidR="007830FC" w:rsidRPr="00302CF1">
        <w:t xml:space="preserve"> e Biotecnologia de Sistemas Bioluminescentes</w:t>
      </w:r>
      <w:r w:rsidRPr="009A5976">
        <w:rPr>
          <w:i w:val="0"/>
        </w:rPr>
        <w:t>, o requisitante deverá efetuar o pagamento do custo operacional pelo processamento do material e/ou horas de utilização do equipamento de acordo com a tabela de preços vigente para a UFSCar-Sorocaba</w:t>
      </w:r>
      <w:r w:rsidR="00302CF1">
        <w:rPr>
          <w:i w:val="0"/>
        </w:rPr>
        <w:t>.</w:t>
      </w:r>
    </w:p>
    <w:p w:rsidR="009A5976" w:rsidRPr="009A5976" w:rsidRDefault="009A5976">
      <w:pPr>
        <w:rPr>
          <w:i w:val="0"/>
        </w:rPr>
      </w:pPr>
    </w:p>
    <w:p w:rsidR="009A5976" w:rsidRPr="009A5976" w:rsidRDefault="009A5976" w:rsidP="00AB6C61">
      <w:pPr>
        <w:jc w:val="both"/>
        <w:rPr>
          <w:i w:val="0"/>
        </w:rPr>
      </w:pPr>
      <w:r w:rsidRPr="00880AE0">
        <w:rPr>
          <w:b/>
          <w:i w:val="0"/>
        </w:rPr>
        <w:t>4. Referência do número do processo do equipamento nos meio de divulgação da pesquisa realizada</w:t>
      </w:r>
      <w:r w:rsidR="00880AE0">
        <w:rPr>
          <w:i w:val="0"/>
        </w:rPr>
        <w:t>.</w:t>
      </w:r>
      <w:r w:rsidRPr="00880AE0">
        <w:rPr>
          <w:i w:val="0"/>
        </w:rPr>
        <w:t xml:space="preserve"> </w:t>
      </w:r>
      <w:r w:rsidRPr="009A5976">
        <w:rPr>
          <w:i w:val="0"/>
        </w:rPr>
        <w:t>Todos os usuários terão obrigatoriedade da citação do processo de aquisição do equipamento e seus acessórios nas publicações, como segue:</w:t>
      </w:r>
      <w:r w:rsidR="00EF0DDD">
        <w:rPr>
          <w:i w:val="0"/>
        </w:rPr>
        <w:t xml:space="preserve"> Proc. FAPESP Equipamento Multiusuário 2010/05426-8</w:t>
      </w:r>
      <w:r w:rsidRPr="009A5976">
        <w:rPr>
          <w:i w:val="0"/>
        </w:rPr>
        <w:t>.</w:t>
      </w:r>
    </w:p>
    <w:p w:rsidR="009A5976" w:rsidRPr="009A5976" w:rsidRDefault="009A5976">
      <w:pPr>
        <w:rPr>
          <w:i w:val="0"/>
        </w:rPr>
      </w:pPr>
    </w:p>
    <w:p w:rsidR="009A5976" w:rsidRPr="009A5976" w:rsidRDefault="009A5976">
      <w:pPr>
        <w:rPr>
          <w:i w:val="0"/>
        </w:rPr>
      </w:pPr>
    </w:p>
    <w:p w:rsidR="009A5976" w:rsidRPr="009A5976" w:rsidRDefault="009A5976">
      <w:pPr>
        <w:rPr>
          <w:i w:val="0"/>
        </w:rPr>
      </w:pPr>
    </w:p>
    <w:sectPr w:rsidR="009A5976" w:rsidRPr="009A5976" w:rsidSect="00FB63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76"/>
    <w:rsid w:val="000F3588"/>
    <w:rsid w:val="001E1301"/>
    <w:rsid w:val="00302CF1"/>
    <w:rsid w:val="00375137"/>
    <w:rsid w:val="00575994"/>
    <w:rsid w:val="00587783"/>
    <w:rsid w:val="00732E0B"/>
    <w:rsid w:val="007830FC"/>
    <w:rsid w:val="007C7219"/>
    <w:rsid w:val="00880AE0"/>
    <w:rsid w:val="009A5976"/>
    <w:rsid w:val="00AB6C61"/>
    <w:rsid w:val="00EF0DDD"/>
    <w:rsid w:val="00F642B1"/>
    <w:rsid w:val="00F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31F30-94B3-477D-AAC3-A2AD17B3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theme="minorBidi"/>
        <w:i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3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783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 w:val="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830FC"/>
    <w:rPr>
      <w:rFonts w:ascii="Courier New" w:eastAsia="Times New Roman" w:hAnsi="Courier New" w:cs="Courier New"/>
      <w:i w:val="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02CF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programa(636);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ufscar</dc:creator>
  <cp:lastModifiedBy>vadim</cp:lastModifiedBy>
  <cp:revision>2</cp:revision>
  <dcterms:created xsi:type="dcterms:W3CDTF">2017-12-14T15:57:00Z</dcterms:created>
  <dcterms:modified xsi:type="dcterms:W3CDTF">2017-12-14T15:57:00Z</dcterms:modified>
</cp:coreProperties>
</file>